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246" w:rsidRDefault="00F875C1" w:rsidP="00FE524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3.3 </w:t>
      </w:r>
      <w:r w:rsidR="008A3DF4">
        <w:rPr>
          <w:rFonts w:ascii="Times New Roman" w:hAnsi="Times New Roman" w:cs="Times New Roman"/>
          <w:b/>
          <w:sz w:val="24"/>
          <w:szCs w:val="24"/>
        </w:rPr>
        <w:t xml:space="preserve">Предложение на УО на ПРСР за </w:t>
      </w:r>
      <w:r w:rsidR="004352A2" w:rsidRPr="00B32F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DF4">
        <w:rPr>
          <w:rFonts w:ascii="Times New Roman" w:hAnsi="Times New Roman" w:cs="Times New Roman"/>
          <w:b/>
          <w:sz w:val="24"/>
          <w:szCs w:val="24"/>
        </w:rPr>
        <w:t>прецизиране на текста на</w:t>
      </w:r>
      <w:r w:rsidR="004352A2" w:rsidRPr="00B32F4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352A2" w:rsidRDefault="004352A2" w:rsidP="00FE524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F4D">
        <w:rPr>
          <w:rFonts w:ascii="Times New Roman" w:hAnsi="Times New Roman" w:cs="Times New Roman"/>
          <w:b/>
          <w:sz w:val="24"/>
          <w:szCs w:val="24"/>
        </w:rPr>
        <w:t xml:space="preserve">мярка 14 </w:t>
      </w:r>
      <w:r w:rsidR="008A3DF4">
        <w:rPr>
          <w:rFonts w:ascii="Times New Roman" w:hAnsi="Times New Roman" w:cs="Times New Roman"/>
          <w:b/>
          <w:sz w:val="24"/>
          <w:szCs w:val="24"/>
        </w:rPr>
        <w:t>„Хуманно отношение към животни“</w:t>
      </w:r>
    </w:p>
    <w:p w:rsidR="00330392" w:rsidRDefault="008A3DF4" w:rsidP="00DD751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3DF4">
        <w:rPr>
          <w:rFonts w:ascii="Times New Roman" w:hAnsi="Times New Roman" w:cs="Times New Roman"/>
          <w:sz w:val="24"/>
          <w:szCs w:val="24"/>
        </w:rPr>
        <w:t xml:space="preserve">Настоящото предложение на Управляващият орган има за цел да се синхронизира текста на мярка 14 „Хуманно отношение към животни“ с </w:t>
      </w:r>
      <w:r>
        <w:rPr>
          <w:rFonts w:ascii="Times New Roman" w:hAnsi="Times New Roman" w:cs="Times New Roman"/>
          <w:sz w:val="24"/>
          <w:szCs w:val="24"/>
        </w:rPr>
        <w:t>определените</w:t>
      </w:r>
      <w:r w:rsidRPr="008A3DF4">
        <w:rPr>
          <w:rFonts w:ascii="Times New Roman" w:hAnsi="Times New Roman" w:cs="Times New Roman"/>
          <w:sz w:val="24"/>
          <w:szCs w:val="24"/>
        </w:rPr>
        <w:t xml:space="preserve"> в националното законодателство минимални стандарти за хуманно отношение при отглеждане на едри преживни животни. </w:t>
      </w:r>
      <w:r>
        <w:rPr>
          <w:rFonts w:ascii="Times New Roman" w:hAnsi="Times New Roman" w:cs="Times New Roman"/>
          <w:sz w:val="24"/>
          <w:szCs w:val="24"/>
        </w:rPr>
        <w:t xml:space="preserve">Предложението е свързано с прецизиране на минималните изисквания и съответно дейностите, за които се предоставя подпомагане при осигуряване на свободна подова площ за отглеждане на </w:t>
      </w:r>
      <w:r w:rsidRPr="008A3DF4">
        <w:rPr>
          <w:rFonts w:ascii="Times New Roman" w:hAnsi="Times New Roman" w:cs="Times New Roman"/>
          <w:sz w:val="24"/>
          <w:szCs w:val="24"/>
        </w:rPr>
        <w:t>крави и биволици на възраст над 24 месеца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54411" w:rsidRDefault="008A3DF4" w:rsidP="00DD751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Предложените на Управляващият орган се отнася за д</w:t>
      </w:r>
      <w:r w:rsidRPr="00E54411">
        <w:rPr>
          <w:rFonts w:ascii="Times New Roman" w:hAnsi="Times New Roman" w:cs="Times New Roman"/>
          <w:sz w:val="24"/>
          <w:szCs w:val="24"/>
        </w:rPr>
        <w:t xml:space="preserve">ейност „Осигуряване на свободна подова площ 10 % над минималния стандарт“ </w:t>
      </w:r>
      <w:r w:rsidR="00DD7513">
        <w:rPr>
          <w:rFonts w:ascii="Times New Roman" w:hAnsi="Times New Roman" w:cs="Times New Roman"/>
          <w:sz w:val="24"/>
          <w:szCs w:val="24"/>
        </w:rPr>
        <w:t>от</w:t>
      </w:r>
      <w:r w:rsidRPr="00E54411">
        <w:rPr>
          <w:rFonts w:ascii="Times New Roman" w:hAnsi="Times New Roman" w:cs="Times New Roman"/>
          <w:sz w:val="24"/>
          <w:szCs w:val="24"/>
        </w:rPr>
        <w:t xml:space="preserve"> подмярка 14.1 „Плащания за хуманно отношение към животните от сектор ЕПЖ“  </w:t>
      </w:r>
      <w:r w:rsidR="00330392" w:rsidRPr="00E54411">
        <w:rPr>
          <w:rFonts w:ascii="Times New Roman" w:hAnsi="Times New Roman" w:cs="Times New Roman"/>
          <w:sz w:val="24"/>
          <w:szCs w:val="24"/>
        </w:rPr>
        <w:t xml:space="preserve">и е продиктувано от </w:t>
      </w:r>
      <w:r w:rsidR="00E54411" w:rsidRPr="00E54411">
        <w:rPr>
          <w:rFonts w:ascii="Times New Roman" w:hAnsi="Times New Roman" w:cs="Times New Roman"/>
          <w:sz w:val="24"/>
          <w:szCs w:val="24"/>
        </w:rPr>
        <w:t>установените минимални изисквания за площ</w:t>
      </w:r>
      <w:r w:rsidR="00DD7513">
        <w:rPr>
          <w:rFonts w:ascii="Times New Roman" w:hAnsi="Times New Roman" w:cs="Times New Roman"/>
          <w:sz w:val="24"/>
          <w:szCs w:val="24"/>
        </w:rPr>
        <w:t xml:space="preserve"> за едно животно</w:t>
      </w:r>
      <w:r w:rsidR="00E54411" w:rsidRPr="00E54411">
        <w:rPr>
          <w:rFonts w:ascii="Times New Roman" w:hAnsi="Times New Roman" w:cs="Times New Roman"/>
          <w:sz w:val="24"/>
          <w:szCs w:val="24"/>
        </w:rPr>
        <w:t xml:space="preserve"> за крави и биволи</w:t>
      </w:r>
      <w:r w:rsidR="00391F9B">
        <w:rPr>
          <w:rFonts w:ascii="Times New Roman" w:hAnsi="Times New Roman" w:cs="Times New Roman"/>
          <w:sz w:val="24"/>
          <w:szCs w:val="24"/>
        </w:rPr>
        <w:t>ци</w:t>
      </w:r>
      <w:r w:rsidR="00E54411" w:rsidRPr="00E54411">
        <w:rPr>
          <w:rFonts w:ascii="Times New Roman" w:hAnsi="Times New Roman" w:cs="Times New Roman"/>
          <w:sz w:val="24"/>
          <w:szCs w:val="24"/>
        </w:rPr>
        <w:t xml:space="preserve"> над 24 м. възраст регламентирани в Наредба №44 от 20.04.2006 г. за ветеринарномедицинските изисквания към животновъдните обекти</w:t>
      </w:r>
      <w:r w:rsidR="00E54411">
        <w:rPr>
          <w:rFonts w:ascii="Times New Roman" w:hAnsi="Times New Roman" w:cs="Times New Roman"/>
          <w:sz w:val="24"/>
          <w:szCs w:val="24"/>
        </w:rPr>
        <w:t>.</w:t>
      </w:r>
    </w:p>
    <w:p w:rsidR="00DD7513" w:rsidRDefault="00E54411" w:rsidP="00A212F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Във връзка с промените </w:t>
      </w:r>
      <w:r w:rsidR="00151A8E">
        <w:rPr>
          <w:rFonts w:ascii="Times New Roman" w:hAnsi="Times New Roman" w:cs="Times New Roman"/>
          <w:sz w:val="24"/>
          <w:szCs w:val="24"/>
        </w:rPr>
        <w:t xml:space="preserve">от 2016 г.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54411">
        <w:rPr>
          <w:rFonts w:ascii="Times New Roman" w:hAnsi="Times New Roman" w:cs="Times New Roman"/>
          <w:sz w:val="24"/>
          <w:szCs w:val="24"/>
        </w:rPr>
        <w:t xml:space="preserve"> Наредба №44 от 20.04.2006 г. за ветеринарномедицинските изисквания към животновъдните обекти </w:t>
      </w:r>
      <w:r>
        <w:rPr>
          <w:rFonts w:ascii="Times New Roman" w:hAnsi="Times New Roman" w:cs="Times New Roman"/>
          <w:sz w:val="24"/>
          <w:szCs w:val="24"/>
        </w:rPr>
        <w:t>са определени</w:t>
      </w:r>
      <w:r w:rsidRPr="00E54411">
        <w:rPr>
          <w:rFonts w:ascii="Times New Roman" w:hAnsi="Times New Roman" w:cs="Times New Roman"/>
          <w:sz w:val="24"/>
          <w:szCs w:val="24"/>
        </w:rPr>
        <w:t xml:space="preserve"> минимални изисквания за площ за крави и биволи</w:t>
      </w:r>
      <w:r w:rsidR="00151A8E">
        <w:rPr>
          <w:rFonts w:ascii="Times New Roman" w:hAnsi="Times New Roman" w:cs="Times New Roman"/>
          <w:sz w:val="24"/>
          <w:szCs w:val="24"/>
        </w:rPr>
        <w:t>ци</w:t>
      </w:r>
      <w:r w:rsidRPr="00E54411">
        <w:rPr>
          <w:rFonts w:ascii="Times New Roman" w:hAnsi="Times New Roman" w:cs="Times New Roman"/>
          <w:sz w:val="24"/>
          <w:szCs w:val="24"/>
        </w:rPr>
        <w:t xml:space="preserve"> над 24 м. възраст, както следва</w:t>
      </w:r>
      <w:r w:rsidR="00151A8E">
        <w:rPr>
          <w:rFonts w:ascii="Times New Roman" w:hAnsi="Times New Roman" w:cs="Times New Roman"/>
          <w:sz w:val="24"/>
          <w:szCs w:val="24"/>
        </w:rPr>
        <w:t>:</w:t>
      </w:r>
      <w:r w:rsidRPr="00E54411">
        <w:rPr>
          <w:rFonts w:ascii="Times New Roman" w:hAnsi="Times New Roman" w:cs="Times New Roman"/>
          <w:sz w:val="24"/>
          <w:szCs w:val="24"/>
        </w:rPr>
        <w:t xml:space="preserve"> за крави над 24 м. възраст - общо 6 кв. м., за биволици над 24 м. възраст - общо 7 кв. м. използваема площ за едно животно в помещенията или в двора</w:t>
      </w:r>
      <w:r w:rsidR="00E02E16">
        <w:rPr>
          <w:rFonts w:ascii="Times New Roman" w:hAnsi="Times New Roman" w:cs="Times New Roman"/>
          <w:sz w:val="24"/>
          <w:szCs w:val="24"/>
        </w:rPr>
        <w:t>.</w:t>
      </w:r>
      <w:r w:rsidR="00DD7513">
        <w:rPr>
          <w:rFonts w:ascii="Times New Roman" w:hAnsi="Times New Roman" w:cs="Times New Roman"/>
          <w:sz w:val="24"/>
          <w:szCs w:val="24"/>
        </w:rPr>
        <w:t xml:space="preserve"> Посочените параметри представляват</w:t>
      </w:r>
      <w:r w:rsidR="00DD7513" w:rsidRPr="00DD7513">
        <w:rPr>
          <w:rFonts w:ascii="Times New Roman" w:hAnsi="Times New Roman" w:cs="Times New Roman"/>
          <w:sz w:val="24"/>
          <w:szCs w:val="24"/>
        </w:rPr>
        <w:t xml:space="preserve"> </w:t>
      </w:r>
      <w:r w:rsidR="00DD7513">
        <w:rPr>
          <w:rFonts w:ascii="Times New Roman" w:hAnsi="Times New Roman" w:cs="Times New Roman"/>
          <w:sz w:val="24"/>
          <w:szCs w:val="24"/>
        </w:rPr>
        <w:t>определените</w:t>
      </w:r>
      <w:r w:rsidR="00DD7513" w:rsidRPr="00DD7513">
        <w:rPr>
          <w:rFonts w:ascii="Times New Roman" w:hAnsi="Times New Roman" w:cs="Times New Roman"/>
          <w:sz w:val="24"/>
          <w:szCs w:val="24"/>
        </w:rPr>
        <w:t xml:space="preserve"> оптимални норми за използваема площ за едно животно</w:t>
      </w:r>
      <w:r w:rsidR="00151A8E">
        <w:rPr>
          <w:rFonts w:ascii="Times New Roman" w:hAnsi="Times New Roman" w:cs="Times New Roman"/>
          <w:sz w:val="24"/>
          <w:szCs w:val="24"/>
        </w:rPr>
        <w:t>,</w:t>
      </w:r>
      <w:r w:rsidR="00DD7513" w:rsidRPr="00DD7513">
        <w:rPr>
          <w:rFonts w:ascii="Times New Roman" w:hAnsi="Times New Roman" w:cs="Times New Roman"/>
          <w:sz w:val="24"/>
          <w:szCs w:val="24"/>
        </w:rPr>
        <w:t xml:space="preserve"> посочени в Приложение № 2 към чл. 9, ал. 1, т. 2 от Наредба №44 от 20.04.2006 г.</w:t>
      </w:r>
      <w:r w:rsidR="00151A8E">
        <w:rPr>
          <w:rFonts w:ascii="Times New Roman" w:hAnsi="Times New Roman" w:cs="Times New Roman"/>
          <w:sz w:val="24"/>
          <w:szCs w:val="24"/>
        </w:rPr>
        <w:t xml:space="preserve"> С</w:t>
      </w:r>
      <w:r w:rsidR="00A212F8">
        <w:rPr>
          <w:rFonts w:ascii="Times New Roman" w:hAnsi="Times New Roman" w:cs="Times New Roman"/>
          <w:sz w:val="24"/>
          <w:szCs w:val="24"/>
        </w:rPr>
        <w:t>ъщите се използват като базови изисквания и са посочени в раздел „</w:t>
      </w:r>
      <w:r w:rsidR="00A212F8" w:rsidRPr="00A212F8">
        <w:rPr>
          <w:rFonts w:ascii="Times New Roman" w:hAnsi="Times New Roman" w:cs="Times New Roman"/>
          <w:sz w:val="24"/>
          <w:szCs w:val="24"/>
        </w:rPr>
        <w:t>Специфична информация за операцията</w:t>
      </w:r>
      <w:r w:rsidR="00A212F8">
        <w:rPr>
          <w:rFonts w:ascii="Times New Roman" w:hAnsi="Times New Roman" w:cs="Times New Roman"/>
          <w:sz w:val="24"/>
          <w:szCs w:val="24"/>
        </w:rPr>
        <w:t xml:space="preserve">. </w:t>
      </w:r>
      <w:r w:rsidR="00A212F8" w:rsidRPr="00A212F8">
        <w:rPr>
          <w:rFonts w:ascii="Times New Roman" w:hAnsi="Times New Roman" w:cs="Times New Roman"/>
          <w:sz w:val="24"/>
          <w:szCs w:val="24"/>
        </w:rPr>
        <w:t>Определяне и посочване на националните и съюзните изисквания, съответстващи на задължителните стандарти, установени съгласно дял VI, глава I от Регламент (ЕС) № 1306/2013</w:t>
      </w:r>
      <w:r w:rsidR="00A212F8">
        <w:rPr>
          <w:rFonts w:ascii="Times New Roman" w:hAnsi="Times New Roman" w:cs="Times New Roman"/>
          <w:sz w:val="24"/>
          <w:szCs w:val="24"/>
        </w:rPr>
        <w:t>“.</w:t>
      </w:r>
    </w:p>
    <w:p w:rsidR="00E02E16" w:rsidRDefault="00E02E16" w:rsidP="00DD751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Установените минимални национални стандарти при отглеждане на посочените по – горе видове животни /</w:t>
      </w:r>
      <w:r w:rsidRPr="00E02E16">
        <w:rPr>
          <w:rFonts w:ascii="Times New Roman" w:hAnsi="Times New Roman" w:cs="Times New Roman"/>
          <w:sz w:val="24"/>
          <w:szCs w:val="24"/>
        </w:rPr>
        <w:t>крави и биволи</w:t>
      </w:r>
      <w:r w:rsidR="00151A8E">
        <w:rPr>
          <w:rFonts w:ascii="Times New Roman" w:hAnsi="Times New Roman" w:cs="Times New Roman"/>
          <w:sz w:val="24"/>
          <w:szCs w:val="24"/>
        </w:rPr>
        <w:t>ци</w:t>
      </w:r>
      <w:r w:rsidRPr="00E02E16">
        <w:rPr>
          <w:rFonts w:ascii="Times New Roman" w:hAnsi="Times New Roman" w:cs="Times New Roman"/>
          <w:sz w:val="24"/>
          <w:szCs w:val="24"/>
        </w:rPr>
        <w:t xml:space="preserve"> над 24 м. възраст</w:t>
      </w:r>
      <w:r>
        <w:rPr>
          <w:rFonts w:ascii="Times New Roman" w:hAnsi="Times New Roman" w:cs="Times New Roman"/>
          <w:sz w:val="24"/>
          <w:szCs w:val="24"/>
        </w:rPr>
        <w:t>/ предполагат и прецизиране на изискванията</w:t>
      </w:r>
      <w:r w:rsidR="00151A8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свързани с минималните изисквания за предоставяне на подпомагане за о</w:t>
      </w:r>
      <w:r w:rsidRPr="00E02E16">
        <w:rPr>
          <w:rFonts w:ascii="Times New Roman" w:hAnsi="Times New Roman" w:cs="Times New Roman"/>
          <w:sz w:val="24"/>
          <w:szCs w:val="24"/>
        </w:rPr>
        <w:t xml:space="preserve">сигуряване на свободна подова площ </w:t>
      </w:r>
      <w:r>
        <w:rPr>
          <w:rFonts w:ascii="Times New Roman" w:hAnsi="Times New Roman" w:cs="Times New Roman"/>
          <w:sz w:val="24"/>
          <w:szCs w:val="24"/>
        </w:rPr>
        <w:t>- 10 % над минималния стандарт</w:t>
      </w:r>
      <w:r w:rsidRPr="00E02E16">
        <w:rPr>
          <w:rFonts w:ascii="Times New Roman" w:hAnsi="Times New Roman" w:cs="Times New Roman"/>
          <w:sz w:val="24"/>
          <w:szCs w:val="24"/>
        </w:rPr>
        <w:t xml:space="preserve"> в подмярка 14.1 „Плащания за хуманно отношен</w:t>
      </w:r>
      <w:r>
        <w:rPr>
          <w:rFonts w:ascii="Times New Roman" w:hAnsi="Times New Roman" w:cs="Times New Roman"/>
          <w:sz w:val="24"/>
          <w:szCs w:val="24"/>
        </w:rPr>
        <w:t>ие към животните от сектор ЕПЖ“.</w:t>
      </w:r>
    </w:p>
    <w:p w:rsidR="00E02E16" w:rsidRDefault="00FE5246" w:rsidP="00FE52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D7513">
        <w:rPr>
          <w:rFonts w:ascii="Times New Roman" w:hAnsi="Times New Roman" w:cs="Times New Roman"/>
          <w:sz w:val="24"/>
          <w:szCs w:val="24"/>
        </w:rPr>
        <w:t xml:space="preserve"> тази връзка като минимално изискване, което животновъдните стопанства трябва да изпълняват за подпомагане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E02E16">
        <w:rPr>
          <w:rFonts w:ascii="Times New Roman" w:hAnsi="Times New Roman" w:cs="Times New Roman"/>
          <w:sz w:val="24"/>
          <w:szCs w:val="24"/>
        </w:rPr>
        <w:t>крави и биволи</w:t>
      </w:r>
      <w:r w:rsidR="00151A8E">
        <w:rPr>
          <w:rFonts w:ascii="Times New Roman" w:hAnsi="Times New Roman" w:cs="Times New Roman"/>
          <w:sz w:val="24"/>
          <w:szCs w:val="24"/>
        </w:rPr>
        <w:t>ци</w:t>
      </w:r>
      <w:r w:rsidRPr="00E02E16">
        <w:rPr>
          <w:rFonts w:ascii="Times New Roman" w:hAnsi="Times New Roman" w:cs="Times New Roman"/>
          <w:sz w:val="24"/>
          <w:szCs w:val="24"/>
        </w:rPr>
        <w:t xml:space="preserve"> над 24 м. възраст</w:t>
      </w:r>
      <w:r w:rsidR="00A212F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за дейността свързана с </w:t>
      </w:r>
      <w:r w:rsidRPr="00FE5246">
        <w:rPr>
          <w:rFonts w:ascii="Times New Roman" w:hAnsi="Times New Roman" w:cs="Times New Roman"/>
          <w:sz w:val="24"/>
          <w:szCs w:val="24"/>
        </w:rPr>
        <w:t>осигуряване на свободна подова площ - 10 % над минималния стандарт</w:t>
      </w:r>
      <w:r w:rsidR="00151A8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е съответно </w:t>
      </w:r>
      <w:r w:rsidRPr="00FE5246">
        <w:rPr>
          <w:rFonts w:ascii="Times New Roman" w:hAnsi="Times New Roman" w:cs="Times New Roman"/>
          <w:sz w:val="24"/>
          <w:szCs w:val="24"/>
        </w:rPr>
        <w:t>за крави над 24 м. възраст - общо 6.6 кв. м. използваема площ за едно животно в помещенията или в двора, а за биволици над 24 м. възраст - общо 7.7 кв. м. използваема площ за едно животно в помещенията или в двора.</w:t>
      </w:r>
    </w:p>
    <w:p w:rsidR="00E02E16" w:rsidRDefault="00E02E16" w:rsidP="00E5441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22FA" w:rsidRDefault="000122FA" w:rsidP="00722FAC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  <w:sectPr w:rsidR="000122FA" w:rsidSect="00A212F8">
          <w:footerReference w:type="default" r:id="rId9"/>
          <w:pgSz w:w="11906" w:h="16838"/>
          <w:pgMar w:top="426" w:right="1417" w:bottom="284" w:left="1417" w:header="142" w:footer="143" w:gutter="0"/>
          <w:cols w:space="708"/>
          <w:docGrid w:linePitch="360"/>
        </w:sectPr>
      </w:pPr>
    </w:p>
    <w:tbl>
      <w:tblPr>
        <w:tblW w:w="553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3738"/>
        <w:gridCol w:w="4682"/>
        <w:gridCol w:w="4821"/>
        <w:gridCol w:w="1976"/>
      </w:tblGrid>
      <w:tr w:rsidR="00E569DB" w:rsidRPr="00E569DB" w:rsidTr="00E569DB">
        <w:tc>
          <w:tcPr>
            <w:tcW w:w="164" w:type="pct"/>
            <w:shd w:val="clear" w:color="auto" w:fill="D9D9D9"/>
          </w:tcPr>
          <w:p w:rsidR="000122FA" w:rsidRPr="00E569DB" w:rsidRDefault="000122FA" w:rsidP="00E569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69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№</w:t>
            </w:r>
          </w:p>
        </w:tc>
        <w:tc>
          <w:tcPr>
            <w:tcW w:w="1188" w:type="pct"/>
            <w:shd w:val="clear" w:color="auto" w:fill="D9D9D9"/>
            <w:vAlign w:val="center"/>
          </w:tcPr>
          <w:p w:rsidR="000122FA" w:rsidRPr="00E569DB" w:rsidRDefault="000122FA" w:rsidP="00E569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69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Част от ПРСР в която се прави предложение за промяна</w:t>
            </w:r>
          </w:p>
        </w:tc>
        <w:tc>
          <w:tcPr>
            <w:tcW w:w="1488" w:type="pct"/>
            <w:shd w:val="clear" w:color="auto" w:fill="D9D9D9"/>
            <w:vAlign w:val="center"/>
          </w:tcPr>
          <w:p w:rsidR="000122FA" w:rsidRPr="00E569DB" w:rsidRDefault="000122FA" w:rsidP="00E569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69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Настоящ текст в ПРСР</w:t>
            </w:r>
          </w:p>
        </w:tc>
        <w:tc>
          <w:tcPr>
            <w:tcW w:w="1532" w:type="pct"/>
            <w:shd w:val="clear" w:color="auto" w:fill="D9D9D9"/>
            <w:vAlign w:val="center"/>
          </w:tcPr>
          <w:p w:rsidR="000122FA" w:rsidRPr="00E569DB" w:rsidRDefault="000122FA" w:rsidP="00E569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69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Предложение за нов текст в ПРСР</w:t>
            </w:r>
          </w:p>
        </w:tc>
        <w:tc>
          <w:tcPr>
            <w:tcW w:w="629" w:type="pct"/>
            <w:shd w:val="clear" w:color="auto" w:fill="D9D9D9"/>
            <w:vAlign w:val="center"/>
          </w:tcPr>
          <w:p w:rsidR="000122FA" w:rsidRPr="00E569DB" w:rsidRDefault="000122FA" w:rsidP="00E569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69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Бележки</w:t>
            </w:r>
          </w:p>
        </w:tc>
      </w:tr>
      <w:tr w:rsidR="00E569DB" w:rsidRPr="00E569DB" w:rsidTr="00E569DB">
        <w:trPr>
          <w:trHeight w:val="589"/>
        </w:trPr>
        <w:tc>
          <w:tcPr>
            <w:tcW w:w="164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122FA" w:rsidRPr="00E569DB" w:rsidRDefault="000122FA" w:rsidP="007459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8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C3B9D" w:rsidRPr="00E569DB" w:rsidRDefault="00D3789A" w:rsidP="00E569DB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E569DB">
              <w:rPr>
                <w:rFonts w:ascii="Times New Roman" w:hAnsi="Times New Roman" w:cs="Times New Roman"/>
                <w:b/>
                <w:sz w:val="20"/>
                <w:szCs w:val="20"/>
              </w:rPr>
              <w:t>Мярка 14 „Хуманно отношение към животните“</w:t>
            </w:r>
          </w:p>
          <w:p w:rsidR="000122FA" w:rsidRPr="00E569DB" w:rsidRDefault="00BC3B9D" w:rsidP="00E569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69DB">
              <w:rPr>
                <w:rFonts w:ascii="Times New Roman" w:hAnsi="Times New Roman" w:cs="Times New Roman"/>
                <w:b/>
                <w:sz w:val="20"/>
                <w:szCs w:val="20"/>
              </w:rPr>
              <w:t>Подмярка 14.1 „Плащания за хуманно отношение към животни в сектор ЕПЖ“</w:t>
            </w:r>
          </w:p>
        </w:tc>
        <w:tc>
          <w:tcPr>
            <w:tcW w:w="1488" w:type="pct"/>
            <w:tcBorders>
              <w:bottom w:val="single" w:sz="4" w:space="0" w:color="auto"/>
            </w:tcBorders>
            <w:shd w:val="clear" w:color="auto" w:fill="D9D9D9"/>
          </w:tcPr>
          <w:p w:rsidR="000122FA" w:rsidRPr="00E569DB" w:rsidRDefault="000122FA" w:rsidP="003E136B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32" w:type="pct"/>
            <w:tcBorders>
              <w:bottom w:val="single" w:sz="4" w:space="0" w:color="auto"/>
            </w:tcBorders>
            <w:shd w:val="clear" w:color="auto" w:fill="D9D9D9"/>
          </w:tcPr>
          <w:p w:rsidR="000122FA" w:rsidRPr="00E569DB" w:rsidRDefault="000122FA" w:rsidP="003E136B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D9D9D9"/>
          </w:tcPr>
          <w:p w:rsidR="000122FA" w:rsidRPr="00E569DB" w:rsidRDefault="000122FA" w:rsidP="003E136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D7513" w:rsidRPr="00E569DB" w:rsidTr="00E569DB">
        <w:trPr>
          <w:trHeight w:val="223"/>
        </w:trPr>
        <w:tc>
          <w:tcPr>
            <w:tcW w:w="164" w:type="pct"/>
            <w:shd w:val="clear" w:color="auto" w:fill="auto"/>
            <w:vAlign w:val="center"/>
          </w:tcPr>
          <w:p w:rsidR="000122FA" w:rsidRPr="00E569DB" w:rsidRDefault="00815796" w:rsidP="00D378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69DB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1188" w:type="pct"/>
            <w:shd w:val="clear" w:color="auto" w:fill="auto"/>
            <w:vAlign w:val="center"/>
          </w:tcPr>
          <w:p w:rsidR="000122FA" w:rsidRPr="00E569DB" w:rsidRDefault="0021565A" w:rsidP="00D378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69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Вид на </w:t>
            </w:r>
            <w:r w:rsidR="00815796" w:rsidRPr="00E569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подкрепата</w:t>
            </w:r>
          </w:p>
        </w:tc>
        <w:tc>
          <w:tcPr>
            <w:tcW w:w="1488" w:type="pct"/>
            <w:shd w:val="clear" w:color="auto" w:fill="auto"/>
          </w:tcPr>
          <w:p w:rsidR="00BC3B9D" w:rsidRPr="00BC3B9D" w:rsidRDefault="00BC3B9D" w:rsidP="00093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B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14.1.1 Осигуряване на свободна подова площ не по-малко от 10 % над задължителния стандарт </w:t>
            </w:r>
          </w:p>
          <w:p w:rsidR="00BC3B9D" w:rsidRPr="00BC3B9D" w:rsidRDefault="00BC3B9D" w:rsidP="00093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B9D">
              <w:rPr>
                <w:rFonts w:ascii="Times New Roman" w:eastAsia="Times New Roman" w:hAnsi="Times New Roman" w:cs="Times New Roman"/>
                <w:sz w:val="20"/>
                <w:szCs w:val="20"/>
              </w:rPr>
              <w:t>·      Осигуряване на свободна подова площ за теле с тегло до 150 кг. – най-малко 1,7 м2;</w:t>
            </w:r>
          </w:p>
          <w:p w:rsidR="00BC3B9D" w:rsidRPr="00BC3B9D" w:rsidRDefault="00BC3B9D" w:rsidP="00093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B9D">
              <w:rPr>
                <w:rFonts w:ascii="Times New Roman" w:eastAsia="Times New Roman" w:hAnsi="Times New Roman" w:cs="Times New Roman"/>
                <w:sz w:val="20"/>
                <w:szCs w:val="20"/>
              </w:rPr>
              <w:t>·      Осигуряване на свободна подова площ за теле с тегло от 150 кг. до 220 кг. – най-малко 1,9 м2;</w:t>
            </w:r>
          </w:p>
          <w:p w:rsidR="00BC3B9D" w:rsidRPr="00BC3B9D" w:rsidRDefault="00BC3B9D" w:rsidP="00093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B9D">
              <w:rPr>
                <w:rFonts w:ascii="Times New Roman" w:eastAsia="Times New Roman" w:hAnsi="Times New Roman" w:cs="Times New Roman"/>
                <w:sz w:val="20"/>
                <w:szCs w:val="20"/>
              </w:rPr>
              <w:t>·      Осигуряване на свободна подова площ за теле с тегло над 220 кг. – най-малко 2,0 м2;</w:t>
            </w:r>
          </w:p>
          <w:p w:rsidR="00BC3B9D" w:rsidRPr="00BC3B9D" w:rsidRDefault="00BC3B9D" w:rsidP="00093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B9D">
              <w:rPr>
                <w:rFonts w:ascii="Times New Roman" w:eastAsia="Times New Roman" w:hAnsi="Times New Roman" w:cs="Times New Roman"/>
                <w:sz w:val="20"/>
                <w:szCs w:val="20"/>
              </w:rPr>
              <w:t>·      Осигуряване на свободна подова площ за крави над 24 месеца - най-малко 6.6 м2 в помещение и най-малко 6.6 м2 в двор;</w:t>
            </w:r>
          </w:p>
          <w:p w:rsidR="00BC3B9D" w:rsidRPr="00BC3B9D" w:rsidRDefault="00BC3B9D" w:rsidP="00093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B9D">
              <w:rPr>
                <w:rFonts w:ascii="Times New Roman" w:eastAsia="Times New Roman" w:hAnsi="Times New Roman" w:cs="Times New Roman"/>
                <w:sz w:val="20"/>
                <w:szCs w:val="20"/>
              </w:rPr>
              <w:t>·      Осигуряване на свободна подова площ за биволици над 24 месеца - най-малко 7.7 м2 в помещение и най-малко 7.7 м2 в двор.</w:t>
            </w:r>
          </w:p>
          <w:p w:rsidR="000122FA" w:rsidRPr="00E569DB" w:rsidRDefault="000122FA" w:rsidP="000936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32" w:type="pct"/>
            <w:shd w:val="clear" w:color="auto" w:fill="auto"/>
          </w:tcPr>
          <w:p w:rsidR="00BC3B9D" w:rsidRPr="00BC3B9D" w:rsidRDefault="00BC3B9D" w:rsidP="00093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B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14.1.1 Осигуряване на свободна подова площ не по-малко от 10 % над задължителния стандарт </w:t>
            </w:r>
          </w:p>
          <w:p w:rsidR="00BC3B9D" w:rsidRPr="00BC3B9D" w:rsidRDefault="00BC3B9D" w:rsidP="00093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B9D">
              <w:rPr>
                <w:rFonts w:ascii="Times New Roman" w:eastAsia="Times New Roman" w:hAnsi="Times New Roman" w:cs="Times New Roman"/>
                <w:sz w:val="20"/>
                <w:szCs w:val="20"/>
              </w:rPr>
              <w:t>·      Осигуряване на свободна подова площ за теле с тегло до 150 кг. – най-малко 1,7 м2;</w:t>
            </w:r>
          </w:p>
          <w:p w:rsidR="00BC3B9D" w:rsidRPr="00BC3B9D" w:rsidRDefault="00BC3B9D" w:rsidP="00093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B9D">
              <w:rPr>
                <w:rFonts w:ascii="Times New Roman" w:eastAsia="Times New Roman" w:hAnsi="Times New Roman" w:cs="Times New Roman"/>
                <w:sz w:val="20"/>
                <w:szCs w:val="20"/>
              </w:rPr>
              <w:t>·      Осигуряване на свободна подова площ за теле с тегло от 150 кг. до 220 кг. – най-малко 1,9 м2;</w:t>
            </w:r>
          </w:p>
          <w:p w:rsidR="00BC3B9D" w:rsidRPr="00BC3B9D" w:rsidRDefault="00BC3B9D" w:rsidP="00093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B9D">
              <w:rPr>
                <w:rFonts w:ascii="Times New Roman" w:eastAsia="Times New Roman" w:hAnsi="Times New Roman" w:cs="Times New Roman"/>
                <w:sz w:val="20"/>
                <w:szCs w:val="20"/>
              </w:rPr>
              <w:t>·      Осигуряване на свободна подова площ за теле с тегло над 220 кг. – най-малко 2,0 м2;</w:t>
            </w:r>
          </w:p>
          <w:p w:rsidR="00BC3B9D" w:rsidRPr="00BC3B9D" w:rsidRDefault="00BC3B9D" w:rsidP="00093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</w:pPr>
            <w:r w:rsidRPr="00BC3B9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·      Осигуряване на свободна подова площ за крави над 24 месеца </w:t>
            </w:r>
            <w:r w:rsidRPr="00E569D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  <w:t>–</w:t>
            </w:r>
            <w:r w:rsidRPr="00BC3B9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 </w:t>
            </w:r>
            <w:r w:rsidRPr="00E569D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  <w:t>общо най-малко 6.6 м2</w:t>
            </w:r>
            <w:r w:rsidRPr="00BC3B9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 </w:t>
            </w:r>
            <w:r w:rsidRPr="00E569D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  <w:t>в помещенията или в двора</w:t>
            </w:r>
            <w:r w:rsidRPr="00BC3B9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  <w:t>;</w:t>
            </w:r>
          </w:p>
          <w:p w:rsidR="00BC3B9D" w:rsidRPr="00BC3B9D" w:rsidRDefault="00BC3B9D" w:rsidP="00093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</w:pPr>
            <w:r w:rsidRPr="00BC3B9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·      Осигуряване на свободна подова площ за биволици над 24 месеца </w:t>
            </w:r>
            <w:r w:rsidRPr="00E569D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  <w:t>–</w:t>
            </w:r>
            <w:r w:rsidRPr="00BC3B9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 </w:t>
            </w:r>
            <w:r w:rsidRPr="00E569D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общо </w:t>
            </w:r>
            <w:r w:rsidRPr="00BC3B9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най-малко 7.7 м2 в </w:t>
            </w:r>
            <w:r w:rsidRPr="00E569D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  <w:t>помещенията или в двора</w:t>
            </w:r>
            <w:r w:rsidRPr="00BC3B9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  <w:t>.</w:t>
            </w:r>
          </w:p>
          <w:p w:rsidR="000122FA" w:rsidRPr="00E569DB" w:rsidRDefault="000122FA" w:rsidP="0009360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29" w:type="pct"/>
            <w:shd w:val="clear" w:color="auto" w:fill="auto"/>
          </w:tcPr>
          <w:p w:rsidR="000122FA" w:rsidRPr="00E569DB" w:rsidRDefault="000122FA" w:rsidP="003E136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D7513" w:rsidRPr="00E569DB" w:rsidTr="00E569DB">
        <w:trPr>
          <w:trHeight w:val="223"/>
        </w:trPr>
        <w:tc>
          <w:tcPr>
            <w:tcW w:w="164" w:type="pct"/>
            <w:shd w:val="clear" w:color="auto" w:fill="auto"/>
            <w:vAlign w:val="center"/>
          </w:tcPr>
          <w:p w:rsidR="00D3789A" w:rsidRPr="00E569DB" w:rsidRDefault="00815796" w:rsidP="00D378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69DB">
              <w:rPr>
                <w:rFonts w:ascii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1188" w:type="pct"/>
            <w:shd w:val="clear" w:color="auto" w:fill="auto"/>
            <w:vAlign w:val="center"/>
          </w:tcPr>
          <w:p w:rsidR="00D3789A" w:rsidRPr="00E569DB" w:rsidRDefault="00D3789A" w:rsidP="0009360E">
            <w:pPr>
              <w:pStyle w:val="Heading6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b/>
                <w:bCs/>
                <w:sz w:val="20"/>
                <w:lang w:val="bg-BG"/>
              </w:rPr>
            </w:pPr>
            <w:r w:rsidRPr="00E569DB">
              <w:rPr>
                <w:rFonts w:ascii="Times New Roman" w:hAnsi="Times New Roman"/>
                <w:b/>
                <w:bCs/>
                <w:sz w:val="20"/>
                <w:lang w:val="bg-BG"/>
              </w:rPr>
              <w:t>Специфична информация за операцията</w:t>
            </w:r>
          </w:p>
          <w:p w:rsidR="00D3789A" w:rsidRPr="00E569DB" w:rsidRDefault="00D3789A" w:rsidP="000936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69DB">
              <w:rPr>
                <w:rFonts w:ascii="Times New Roman" w:hAnsi="Times New Roman" w:cs="Times New Roman"/>
                <w:b/>
                <w:sz w:val="20"/>
                <w:szCs w:val="20"/>
              </w:rPr>
              <w:t>Определяне и посочване на националните и съюзните изисквания, съответстващи на задължителните стандарти, установени съгласно дял VI, глава I от Регламент (ЕС) № 1306/2013</w:t>
            </w:r>
          </w:p>
          <w:p w:rsidR="00D3789A" w:rsidRPr="00E569DB" w:rsidRDefault="00D3789A" w:rsidP="0009360E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88" w:type="pct"/>
            <w:shd w:val="clear" w:color="auto" w:fill="auto"/>
            <w:vAlign w:val="center"/>
          </w:tcPr>
          <w:p w:rsidR="0009360E" w:rsidRPr="0009360E" w:rsidRDefault="0009360E" w:rsidP="00093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36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Минимални стандарти/базови изисквания, база за подпомаганите дейности по подмярката:</w:t>
            </w:r>
          </w:p>
          <w:p w:rsidR="0009360E" w:rsidRPr="0009360E" w:rsidRDefault="0009360E" w:rsidP="00093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36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14.1.1 Осигуряване на свободна подова площ:</w:t>
            </w:r>
          </w:p>
          <w:p w:rsidR="0009360E" w:rsidRPr="0009360E" w:rsidRDefault="0009360E" w:rsidP="00093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360E">
              <w:rPr>
                <w:rFonts w:ascii="Times New Roman" w:eastAsia="Times New Roman" w:hAnsi="Times New Roman" w:cs="Times New Roman"/>
                <w:sz w:val="20"/>
                <w:szCs w:val="20"/>
              </w:rPr>
              <w:t>·      Осигуряване на свободна подова площ за теле с тегло до 150 кг. – най-малко 1,5 м2;</w:t>
            </w:r>
          </w:p>
          <w:p w:rsidR="0009360E" w:rsidRPr="0009360E" w:rsidRDefault="0009360E" w:rsidP="00093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360E">
              <w:rPr>
                <w:rFonts w:ascii="Times New Roman" w:eastAsia="Times New Roman" w:hAnsi="Times New Roman" w:cs="Times New Roman"/>
                <w:sz w:val="20"/>
                <w:szCs w:val="20"/>
              </w:rPr>
              <w:t>·      Осигуряване на свободна подова площ за теле с тегло от 150 кг. до 220 кг. – най-малко 1,7 м2;</w:t>
            </w:r>
          </w:p>
          <w:p w:rsidR="0009360E" w:rsidRPr="0009360E" w:rsidRDefault="0009360E" w:rsidP="00093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360E">
              <w:rPr>
                <w:rFonts w:ascii="Times New Roman" w:eastAsia="Times New Roman" w:hAnsi="Times New Roman" w:cs="Times New Roman"/>
                <w:sz w:val="20"/>
                <w:szCs w:val="20"/>
              </w:rPr>
              <w:t>·      Осигуряване на свободна подова площ за теле с тегло над 220 кг. – най-малко 1,8 м2;</w:t>
            </w:r>
          </w:p>
          <w:p w:rsidR="0009360E" w:rsidRPr="0009360E" w:rsidRDefault="0009360E" w:rsidP="00093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360E">
              <w:rPr>
                <w:rFonts w:ascii="Times New Roman" w:eastAsia="Times New Roman" w:hAnsi="Times New Roman" w:cs="Times New Roman"/>
                <w:sz w:val="20"/>
                <w:szCs w:val="20"/>
              </w:rPr>
              <w:t>·      Осигуряване на свободна подова площ за крави над 24 месеца - най-малко 6 м2 в помещение и най-малко 6 м2 в двор;</w:t>
            </w:r>
          </w:p>
          <w:p w:rsidR="00D3789A" w:rsidRPr="00E569DB" w:rsidRDefault="0009360E" w:rsidP="000936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69DB">
              <w:rPr>
                <w:rFonts w:ascii="Times New Roman" w:eastAsia="Times New Roman" w:hAnsi="Times New Roman" w:cs="Times New Roman"/>
                <w:sz w:val="20"/>
                <w:szCs w:val="20"/>
              </w:rPr>
              <w:t>·      Осигуряване на свободна подова площ за биволици над 24 месеца - най-малко 7 м2 в помещение и най-малко 7 м2 в двор.</w:t>
            </w:r>
          </w:p>
        </w:tc>
        <w:tc>
          <w:tcPr>
            <w:tcW w:w="1532" w:type="pct"/>
            <w:shd w:val="clear" w:color="auto" w:fill="auto"/>
          </w:tcPr>
          <w:p w:rsidR="0009360E" w:rsidRPr="0009360E" w:rsidRDefault="0009360E" w:rsidP="00093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36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Минимални стандарти/базови изисквания, база за подпомаганите дейности по подмярката:</w:t>
            </w:r>
          </w:p>
          <w:p w:rsidR="0009360E" w:rsidRPr="0009360E" w:rsidRDefault="0009360E" w:rsidP="00093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36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14.1.1 Осигуряване на свободна подова площ:</w:t>
            </w:r>
          </w:p>
          <w:p w:rsidR="0009360E" w:rsidRPr="0009360E" w:rsidRDefault="0009360E" w:rsidP="00093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360E">
              <w:rPr>
                <w:rFonts w:ascii="Times New Roman" w:eastAsia="Times New Roman" w:hAnsi="Times New Roman" w:cs="Times New Roman"/>
                <w:sz w:val="20"/>
                <w:szCs w:val="20"/>
              </w:rPr>
              <w:t>·      Осигуряване на свободна подова площ за теле с тегло до 150 кг. – най-малко 1,5 м2;</w:t>
            </w:r>
          </w:p>
          <w:p w:rsidR="0009360E" w:rsidRPr="0009360E" w:rsidRDefault="0009360E" w:rsidP="00093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360E">
              <w:rPr>
                <w:rFonts w:ascii="Times New Roman" w:eastAsia="Times New Roman" w:hAnsi="Times New Roman" w:cs="Times New Roman"/>
                <w:sz w:val="20"/>
                <w:szCs w:val="20"/>
              </w:rPr>
              <w:t>·      Осигуряване на свободна подова площ за теле с тегло от 150 кг. до 220 кг. – най-малко 1,7 м2;</w:t>
            </w:r>
          </w:p>
          <w:p w:rsidR="0009360E" w:rsidRPr="0009360E" w:rsidRDefault="0009360E" w:rsidP="00093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360E">
              <w:rPr>
                <w:rFonts w:ascii="Times New Roman" w:eastAsia="Times New Roman" w:hAnsi="Times New Roman" w:cs="Times New Roman"/>
                <w:sz w:val="20"/>
                <w:szCs w:val="20"/>
              </w:rPr>
              <w:t>·      Осигуряване на свободна подова площ за теле с тегло над 220 кг. – най-малко 1,8 м2;</w:t>
            </w:r>
          </w:p>
          <w:p w:rsidR="0009360E" w:rsidRPr="0009360E" w:rsidRDefault="0009360E" w:rsidP="00093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</w:pPr>
            <w:r w:rsidRPr="000936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·      </w:t>
            </w:r>
            <w:r w:rsidRPr="000936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Осигуряване на свободна подова площ за крави над 24 месеца </w:t>
            </w:r>
            <w:r w:rsidRPr="00E569D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  <w:t>–</w:t>
            </w:r>
            <w:r w:rsidRPr="000936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 </w:t>
            </w:r>
            <w:r w:rsidRPr="00E569D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общо </w:t>
            </w:r>
            <w:r w:rsidRPr="000936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най-малко 6 м2 </w:t>
            </w:r>
            <w:r w:rsidRPr="00E569D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  <w:t>в помещенията или в двора</w:t>
            </w:r>
            <w:r w:rsidRPr="000936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  <w:t>;</w:t>
            </w:r>
          </w:p>
          <w:p w:rsidR="00D3789A" w:rsidRPr="00E569DB" w:rsidRDefault="0009360E" w:rsidP="0009360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569D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·      Осигуряване на свободна подова площ за биволици над 24 месеца </w:t>
            </w:r>
            <w:r w:rsidR="00794EFF" w:rsidRPr="00E569D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  <w:t>–</w:t>
            </w:r>
            <w:r w:rsidRPr="00E569D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 </w:t>
            </w:r>
            <w:r w:rsidR="00794EFF" w:rsidRPr="00E569D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общо </w:t>
            </w:r>
            <w:r w:rsidRPr="00E569D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най-малко 7 м2 </w:t>
            </w:r>
            <w:r w:rsidR="00794EFF" w:rsidRPr="00E569D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  <w:t>в помещенията или в двора</w:t>
            </w:r>
            <w:r w:rsidRPr="00E569D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  <w:t>.</w:t>
            </w:r>
          </w:p>
        </w:tc>
        <w:tc>
          <w:tcPr>
            <w:tcW w:w="629" w:type="pct"/>
            <w:shd w:val="clear" w:color="auto" w:fill="auto"/>
          </w:tcPr>
          <w:p w:rsidR="00D3789A" w:rsidRPr="00E569DB" w:rsidRDefault="00DD7513" w:rsidP="00DD751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69DB">
              <w:rPr>
                <w:rFonts w:ascii="Times New Roman" w:hAnsi="Times New Roman" w:cs="Times New Roman"/>
                <w:bCs/>
                <w:sz w:val="20"/>
                <w:szCs w:val="20"/>
              </w:rPr>
              <w:t>Предложените промени са съгласно установените о</w:t>
            </w:r>
            <w:r w:rsidR="00794EFF" w:rsidRPr="00E569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птимални норми за използваема площ за едно животно </w:t>
            </w:r>
            <w:r w:rsidRPr="00E569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посочени в </w:t>
            </w:r>
            <w:r w:rsidR="00794EFF" w:rsidRPr="00E569DB">
              <w:rPr>
                <w:rFonts w:ascii="Times New Roman" w:hAnsi="Times New Roman" w:cs="Times New Roman"/>
                <w:bCs/>
                <w:sz w:val="20"/>
                <w:szCs w:val="20"/>
              </w:rPr>
              <w:t>Приложение № 2 към чл. 9, ал. 1, т. 2</w:t>
            </w:r>
            <w:r w:rsidRPr="00E569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от Наредба №44 от 20.04.2006 г.</w:t>
            </w:r>
          </w:p>
        </w:tc>
      </w:tr>
    </w:tbl>
    <w:p w:rsidR="000122FA" w:rsidRPr="00982E05" w:rsidRDefault="000122FA" w:rsidP="00722FAC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0122FA" w:rsidRPr="00982E05" w:rsidSect="00E569DB">
      <w:pgSz w:w="16838" w:h="11906" w:orient="landscape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DFC" w:rsidRDefault="002E0DFC" w:rsidP="0039528E">
      <w:pPr>
        <w:spacing w:after="0" w:line="240" w:lineRule="auto"/>
      </w:pPr>
      <w:r>
        <w:separator/>
      </w:r>
    </w:p>
  </w:endnote>
  <w:endnote w:type="continuationSeparator" w:id="0">
    <w:p w:rsidR="002E0DFC" w:rsidRDefault="002E0DFC" w:rsidP="00395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011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9528E" w:rsidRDefault="003952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47D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9528E" w:rsidRDefault="003952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DFC" w:rsidRDefault="002E0DFC" w:rsidP="0039528E">
      <w:pPr>
        <w:spacing w:after="0" w:line="240" w:lineRule="auto"/>
      </w:pPr>
      <w:r>
        <w:separator/>
      </w:r>
    </w:p>
  </w:footnote>
  <w:footnote w:type="continuationSeparator" w:id="0">
    <w:p w:rsidR="002E0DFC" w:rsidRDefault="002E0DFC" w:rsidP="003952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F12C3"/>
    <w:multiLevelType w:val="hybridMultilevel"/>
    <w:tmpl w:val="D60AE8E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72335E"/>
    <w:multiLevelType w:val="hybridMultilevel"/>
    <w:tmpl w:val="9F6ECE7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222B24"/>
    <w:multiLevelType w:val="hybridMultilevel"/>
    <w:tmpl w:val="6FFC7D8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1BD6102"/>
    <w:multiLevelType w:val="hybridMultilevel"/>
    <w:tmpl w:val="929E487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64C3702"/>
    <w:multiLevelType w:val="hybridMultilevel"/>
    <w:tmpl w:val="03BEE2E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1E6367"/>
    <w:multiLevelType w:val="hybridMultilevel"/>
    <w:tmpl w:val="DE24CF2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436603"/>
    <w:multiLevelType w:val="multilevel"/>
    <w:tmpl w:val="A09AD310"/>
    <w:numStyleLink w:val="Headings"/>
  </w:abstractNum>
  <w:abstractNum w:abstractNumId="7">
    <w:nsid w:val="555C0274"/>
    <w:multiLevelType w:val="hybridMultilevel"/>
    <w:tmpl w:val="87ECF7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594894"/>
    <w:multiLevelType w:val="multilevel"/>
    <w:tmpl w:val="A09AD310"/>
    <w:styleLink w:val="Headings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426" w:firstLine="0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>
    <w:nsid w:val="5ADB40C6"/>
    <w:multiLevelType w:val="hybridMultilevel"/>
    <w:tmpl w:val="6E680F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C73573"/>
    <w:multiLevelType w:val="hybridMultilevel"/>
    <w:tmpl w:val="7A0C7C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046564"/>
    <w:multiLevelType w:val="hybridMultilevel"/>
    <w:tmpl w:val="11C4C92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9"/>
  </w:num>
  <w:num w:numId="5">
    <w:abstractNumId w:val="1"/>
  </w:num>
  <w:num w:numId="6">
    <w:abstractNumId w:val="11"/>
  </w:num>
  <w:num w:numId="7">
    <w:abstractNumId w:val="3"/>
  </w:num>
  <w:num w:numId="8">
    <w:abstractNumId w:val="2"/>
  </w:num>
  <w:num w:numId="9">
    <w:abstractNumId w:val="0"/>
  </w:num>
  <w:num w:numId="10">
    <w:abstractNumId w:val="7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F4D"/>
    <w:rsid w:val="000122FA"/>
    <w:rsid w:val="00036592"/>
    <w:rsid w:val="00044429"/>
    <w:rsid w:val="00060D89"/>
    <w:rsid w:val="00061E68"/>
    <w:rsid w:val="0009360E"/>
    <w:rsid w:val="00151A8E"/>
    <w:rsid w:val="0015310C"/>
    <w:rsid w:val="0021565A"/>
    <w:rsid w:val="00232F4B"/>
    <w:rsid w:val="002E0DFC"/>
    <w:rsid w:val="002E48CC"/>
    <w:rsid w:val="00310593"/>
    <w:rsid w:val="003166E8"/>
    <w:rsid w:val="00330392"/>
    <w:rsid w:val="00391F9B"/>
    <w:rsid w:val="0039528E"/>
    <w:rsid w:val="003D46B2"/>
    <w:rsid w:val="003E081A"/>
    <w:rsid w:val="00416AED"/>
    <w:rsid w:val="004352A2"/>
    <w:rsid w:val="004B06DD"/>
    <w:rsid w:val="004D6C6F"/>
    <w:rsid w:val="00561E0F"/>
    <w:rsid w:val="00562325"/>
    <w:rsid w:val="00627292"/>
    <w:rsid w:val="0063062D"/>
    <w:rsid w:val="006C2CC4"/>
    <w:rsid w:val="00712CBD"/>
    <w:rsid w:val="00716F43"/>
    <w:rsid w:val="00722FAC"/>
    <w:rsid w:val="00745977"/>
    <w:rsid w:val="0078287A"/>
    <w:rsid w:val="00794EFF"/>
    <w:rsid w:val="00815796"/>
    <w:rsid w:val="0084626A"/>
    <w:rsid w:val="00846EC2"/>
    <w:rsid w:val="008A3DF4"/>
    <w:rsid w:val="008E611B"/>
    <w:rsid w:val="00982E05"/>
    <w:rsid w:val="009C7F38"/>
    <w:rsid w:val="009F0F8C"/>
    <w:rsid w:val="00A212F8"/>
    <w:rsid w:val="00B063C3"/>
    <w:rsid w:val="00B212A5"/>
    <w:rsid w:val="00B32F4D"/>
    <w:rsid w:val="00B4444C"/>
    <w:rsid w:val="00BC3B9D"/>
    <w:rsid w:val="00BF5889"/>
    <w:rsid w:val="00C95F78"/>
    <w:rsid w:val="00D36B33"/>
    <w:rsid w:val="00D3789A"/>
    <w:rsid w:val="00D631BE"/>
    <w:rsid w:val="00DA1AAD"/>
    <w:rsid w:val="00DD7513"/>
    <w:rsid w:val="00DF3258"/>
    <w:rsid w:val="00E02E16"/>
    <w:rsid w:val="00E54411"/>
    <w:rsid w:val="00E569DB"/>
    <w:rsid w:val="00ED4586"/>
    <w:rsid w:val="00EE601E"/>
    <w:rsid w:val="00F16665"/>
    <w:rsid w:val="00F52022"/>
    <w:rsid w:val="00F547D0"/>
    <w:rsid w:val="00F633A5"/>
    <w:rsid w:val="00F74F92"/>
    <w:rsid w:val="00F875C1"/>
    <w:rsid w:val="00FC47DE"/>
    <w:rsid w:val="00FE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3789A"/>
    <w:pPr>
      <w:keepNext/>
      <w:numPr>
        <w:numId w:val="12"/>
      </w:numPr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paragraph" w:styleId="Heading2">
    <w:name w:val="heading 2"/>
    <w:basedOn w:val="Heading1"/>
    <w:next w:val="Normal"/>
    <w:link w:val="Heading2Char"/>
    <w:autoRedefine/>
    <w:qFormat/>
    <w:rsid w:val="00D3789A"/>
    <w:pPr>
      <w:numPr>
        <w:ilvl w:val="1"/>
      </w:numPr>
      <w:outlineLvl w:val="1"/>
    </w:pPr>
    <w:rPr>
      <w:smallCaps w:val="0"/>
      <w:sz w:val="24"/>
    </w:rPr>
  </w:style>
  <w:style w:type="paragraph" w:styleId="Heading3">
    <w:name w:val="heading 3"/>
    <w:basedOn w:val="Heading2"/>
    <w:next w:val="Normal"/>
    <w:link w:val="Heading3Char"/>
    <w:autoRedefine/>
    <w:qFormat/>
    <w:rsid w:val="00D3789A"/>
    <w:pPr>
      <w:numPr>
        <w:ilvl w:val="2"/>
      </w:numPr>
      <w:outlineLvl w:val="2"/>
    </w:pPr>
    <w:rPr>
      <w:b w:val="0"/>
      <w:color w:val="000000"/>
    </w:rPr>
  </w:style>
  <w:style w:type="paragraph" w:styleId="Heading4">
    <w:name w:val="heading 4"/>
    <w:basedOn w:val="Heading3"/>
    <w:next w:val="Normal"/>
    <w:link w:val="Heading4Char"/>
    <w:qFormat/>
    <w:rsid w:val="00D3789A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3789A"/>
    <w:pPr>
      <w:numPr>
        <w:ilvl w:val="4"/>
      </w:numPr>
      <w:jc w:val="left"/>
      <w:outlineLvl w:val="4"/>
    </w:pPr>
    <w:rPr>
      <w:rFonts w:ascii="Arial" w:hAnsi="Arial"/>
      <w:b/>
      <w:i w:val="0"/>
      <w:noProof/>
      <w:sz w:val="22"/>
    </w:rPr>
  </w:style>
  <w:style w:type="paragraph" w:styleId="Heading6">
    <w:name w:val="heading 6"/>
    <w:basedOn w:val="Heading5"/>
    <w:next w:val="Normal"/>
    <w:link w:val="Heading6Char"/>
    <w:qFormat/>
    <w:rsid w:val="00D3789A"/>
    <w:pPr>
      <w:numPr>
        <w:ilvl w:val="5"/>
      </w:numPr>
      <w:spacing w:after="60"/>
      <w:outlineLvl w:val="5"/>
    </w:pPr>
    <w:rPr>
      <w:b w:val="0"/>
    </w:rPr>
  </w:style>
  <w:style w:type="paragraph" w:styleId="Heading7">
    <w:name w:val="heading 7"/>
    <w:basedOn w:val="Heading6"/>
    <w:next w:val="Normal"/>
    <w:link w:val="Heading7Char"/>
    <w:qFormat/>
    <w:rsid w:val="00D3789A"/>
    <w:pPr>
      <w:numPr>
        <w:ilvl w:val="6"/>
      </w:numPr>
      <w:outlineLvl w:val="6"/>
    </w:pPr>
    <w:rPr>
      <w:i/>
    </w:rPr>
  </w:style>
  <w:style w:type="paragraph" w:styleId="Heading8">
    <w:name w:val="heading 8"/>
    <w:basedOn w:val="Heading7"/>
    <w:next w:val="Normal"/>
    <w:link w:val="Heading8Char"/>
    <w:qFormat/>
    <w:rsid w:val="00D3789A"/>
    <w:pPr>
      <w:numPr>
        <w:ilvl w:val="7"/>
      </w:numPr>
      <w:outlineLvl w:val="7"/>
    </w:pPr>
    <w:rPr>
      <w:rFonts w:ascii="Calibri" w:hAnsi="Calibri"/>
      <w:b/>
      <w:i w:val="0"/>
      <w:sz w:val="24"/>
    </w:rPr>
  </w:style>
  <w:style w:type="paragraph" w:styleId="Heading9">
    <w:name w:val="heading 9"/>
    <w:basedOn w:val="Heading8"/>
    <w:next w:val="Normal"/>
    <w:link w:val="Heading9Char"/>
    <w:qFormat/>
    <w:rsid w:val="00D3789A"/>
    <w:pPr>
      <w:numPr>
        <w:ilvl w:val="8"/>
      </w:numPr>
      <w:outlineLvl w:val="8"/>
    </w:pPr>
    <w:rPr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06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4626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528E"/>
  </w:style>
  <w:style w:type="paragraph" w:styleId="Footer">
    <w:name w:val="footer"/>
    <w:basedOn w:val="Normal"/>
    <w:link w:val="FooterChar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528E"/>
  </w:style>
  <w:style w:type="character" w:customStyle="1" w:styleId="Heading1Char">
    <w:name w:val="Heading 1 Char"/>
    <w:basedOn w:val="DefaultParagraphFont"/>
    <w:link w:val="Heading1"/>
    <w:rsid w:val="00D3789A"/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rsid w:val="00D3789A"/>
    <w:rPr>
      <w:rFonts w:ascii="Times New Roman" w:eastAsia="Times New Roman" w:hAnsi="Times New Roman" w:cs="Times New Roman"/>
      <w:b/>
      <w:sz w:val="24"/>
      <w:szCs w:val="20"/>
      <w:lang w:val="fr-BE"/>
    </w:rPr>
  </w:style>
  <w:style w:type="character" w:customStyle="1" w:styleId="Heading3Char">
    <w:name w:val="Heading 3 Char"/>
    <w:basedOn w:val="DefaultParagraphFont"/>
    <w:link w:val="Heading3"/>
    <w:rsid w:val="00D3789A"/>
    <w:rPr>
      <w:rFonts w:ascii="Times New Roman" w:eastAsia="Times New Roman" w:hAnsi="Times New Roman" w:cs="Times New Roman"/>
      <w:color w:val="000000"/>
      <w:sz w:val="24"/>
      <w:szCs w:val="20"/>
      <w:lang w:val="fr-BE"/>
    </w:rPr>
  </w:style>
  <w:style w:type="character" w:customStyle="1" w:styleId="Heading4Char">
    <w:name w:val="Heading 4 Char"/>
    <w:basedOn w:val="DefaultParagraphFont"/>
    <w:link w:val="Heading4"/>
    <w:rsid w:val="00D3789A"/>
    <w:rPr>
      <w:rFonts w:ascii="Times New Roman" w:eastAsia="Times New Roman" w:hAnsi="Times New Roman" w:cs="Times New Roman"/>
      <w:i/>
      <w:color w:val="000000"/>
      <w:sz w:val="24"/>
      <w:szCs w:val="20"/>
      <w:lang w:val="fr-BE"/>
    </w:rPr>
  </w:style>
  <w:style w:type="character" w:customStyle="1" w:styleId="Heading5Char">
    <w:name w:val="Heading 5 Char"/>
    <w:basedOn w:val="DefaultParagraphFont"/>
    <w:link w:val="Heading5"/>
    <w:rsid w:val="00D3789A"/>
    <w:rPr>
      <w:rFonts w:ascii="Arial" w:eastAsia="Times New Roman" w:hAnsi="Arial" w:cs="Times New Roman"/>
      <w:b/>
      <w:noProof/>
      <w:color w:val="000000"/>
      <w:szCs w:val="20"/>
      <w:lang w:val="fr-BE"/>
    </w:rPr>
  </w:style>
  <w:style w:type="character" w:customStyle="1" w:styleId="Heading6Char">
    <w:name w:val="Heading 6 Char"/>
    <w:basedOn w:val="DefaultParagraphFont"/>
    <w:link w:val="Heading6"/>
    <w:rsid w:val="00D3789A"/>
    <w:rPr>
      <w:rFonts w:ascii="Arial" w:eastAsia="Times New Roman" w:hAnsi="Arial" w:cs="Times New Roman"/>
      <w:noProof/>
      <w:color w:val="000000"/>
      <w:szCs w:val="20"/>
      <w:lang w:val="fr-BE"/>
    </w:rPr>
  </w:style>
  <w:style w:type="character" w:customStyle="1" w:styleId="Heading7Char">
    <w:name w:val="Heading 7 Char"/>
    <w:basedOn w:val="DefaultParagraphFont"/>
    <w:link w:val="Heading7"/>
    <w:rsid w:val="00D3789A"/>
    <w:rPr>
      <w:rFonts w:ascii="Arial" w:eastAsia="Times New Roman" w:hAnsi="Arial" w:cs="Times New Roman"/>
      <w:i/>
      <w:noProof/>
      <w:color w:val="000000"/>
      <w:szCs w:val="20"/>
      <w:lang w:val="fr-BE"/>
    </w:rPr>
  </w:style>
  <w:style w:type="character" w:customStyle="1" w:styleId="Heading8Char">
    <w:name w:val="Heading 8 Char"/>
    <w:basedOn w:val="DefaultParagraphFont"/>
    <w:link w:val="Heading8"/>
    <w:rsid w:val="00D3789A"/>
    <w:rPr>
      <w:rFonts w:ascii="Calibri" w:eastAsia="Times New Roman" w:hAnsi="Calibri" w:cs="Times New Roman"/>
      <w:b/>
      <w:noProof/>
      <w:color w:val="000000"/>
      <w:sz w:val="24"/>
      <w:szCs w:val="20"/>
      <w:lang w:val="fr-BE"/>
    </w:rPr>
  </w:style>
  <w:style w:type="character" w:customStyle="1" w:styleId="Heading9Char">
    <w:name w:val="Heading 9 Char"/>
    <w:basedOn w:val="DefaultParagraphFont"/>
    <w:link w:val="Heading9"/>
    <w:rsid w:val="00D3789A"/>
    <w:rPr>
      <w:rFonts w:ascii="Calibri" w:eastAsia="Times New Roman" w:hAnsi="Calibri" w:cs="Times New Roman"/>
      <w:noProof/>
      <w:color w:val="000000"/>
      <w:sz w:val="24"/>
      <w:szCs w:val="20"/>
      <w:lang w:val="fr-BE"/>
    </w:rPr>
  </w:style>
  <w:style w:type="numbering" w:customStyle="1" w:styleId="Headings">
    <w:name w:val="Headings"/>
    <w:uiPriority w:val="99"/>
    <w:rsid w:val="00D3789A"/>
    <w:pPr>
      <w:numPr>
        <w:numId w:val="1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6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1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3789A"/>
    <w:pPr>
      <w:keepNext/>
      <w:numPr>
        <w:numId w:val="12"/>
      </w:numPr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paragraph" w:styleId="Heading2">
    <w:name w:val="heading 2"/>
    <w:basedOn w:val="Heading1"/>
    <w:next w:val="Normal"/>
    <w:link w:val="Heading2Char"/>
    <w:autoRedefine/>
    <w:qFormat/>
    <w:rsid w:val="00D3789A"/>
    <w:pPr>
      <w:numPr>
        <w:ilvl w:val="1"/>
      </w:numPr>
      <w:outlineLvl w:val="1"/>
    </w:pPr>
    <w:rPr>
      <w:smallCaps w:val="0"/>
      <w:sz w:val="24"/>
    </w:rPr>
  </w:style>
  <w:style w:type="paragraph" w:styleId="Heading3">
    <w:name w:val="heading 3"/>
    <w:basedOn w:val="Heading2"/>
    <w:next w:val="Normal"/>
    <w:link w:val="Heading3Char"/>
    <w:autoRedefine/>
    <w:qFormat/>
    <w:rsid w:val="00D3789A"/>
    <w:pPr>
      <w:numPr>
        <w:ilvl w:val="2"/>
      </w:numPr>
      <w:outlineLvl w:val="2"/>
    </w:pPr>
    <w:rPr>
      <w:b w:val="0"/>
      <w:color w:val="000000"/>
    </w:rPr>
  </w:style>
  <w:style w:type="paragraph" w:styleId="Heading4">
    <w:name w:val="heading 4"/>
    <w:basedOn w:val="Heading3"/>
    <w:next w:val="Normal"/>
    <w:link w:val="Heading4Char"/>
    <w:qFormat/>
    <w:rsid w:val="00D3789A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3789A"/>
    <w:pPr>
      <w:numPr>
        <w:ilvl w:val="4"/>
      </w:numPr>
      <w:jc w:val="left"/>
      <w:outlineLvl w:val="4"/>
    </w:pPr>
    <w:rPr>
      <w:rFonts w:ascii="Arial" w:hAnsi="Arial"/>
      <w:b/>
      <w:i w:val="0"/>
      <w:noProof/>
      <w:sz w:val="22"/>
    </w:rPr>
  </w:style>
  <w:style w:type="paragraph" w:styleId="Heading6">
    <w:name w:val="heading 6"/>
    <w:basedOn w:val="Heading5"/>
    <w:next w:val="Normal"/>
    <w:link w:val="Heading6Char"/>
    <w:qFormat/>
    <w:rsid w:val="00D3789A"/>
    <w:pPr>
      <w:numPr>
        <w:ilvl w:val="5"/>
      </w:numPr>
      <w:spacing w:after="60"/>
      <w:outlineLvl w:val="5"/>
    </w:pPr>
    <w:rPr>
      <w:b w:val="0"/>
    </w:rPr>
  </w:style>
  <w:style w:type="paragraph" w:styleId="Heading7">
    <w:name w:val="heading 7"/>
    <w:basedOn w:val="Heading6"/>
    <w:next w:val="Normal"/>
    <w:link w:val="Heading7Char"/>
    <w:qFormat/>
    <w:rsid w:val="00D3789A"/>
    <w:pPr>
      <w:numPr>
        <w:ilvl w:val="6"/>
      </w:numPr>
      <w:outlineLvl w:val="6"/>
    </w:pPr>
    <w:rPr>
      <w:i/>
    </w:rPr>
  </w:style>
  <w:style w:type="paragraph" w:styleId="Heading8">
    <w:name w:val="heading 8"/>
    <w:basedOn w:val="Heading7"/>
    <w:next w:val="Normal"/>
    <w:link w:val="Heading8Char"/>
    <w:qFormat/>
    <w:rsid w:val="00D3789A"/>
    <w:pPr>
      <w:numPr>
        <w:ilvl w:val="7"/>
      </w:numPr>
      <w:outlineLvl w:val="7"/>
    </w:pPr>
    <w:rPr>
      <w:rFonts w:ascii="Calibri" w:hAnsi="Calibri"/>
      <w:b/>
      <w:i w:val="0"/>
      <w:sz w:val="24"/>
    </w:rPr>
  </w:style>
  <w:style w:type="paragraph" w:styleId="Heading9">
    <w:name w:val="heading 9"/>
    <w:basedOn w:val="Heading8"/>
    <w:next w:val="Normal"/>
    <w:link w:val="Heading9Char"/>
    <w:qFormat/>
    <w:rsid w:val="00D3789A"/>
    <w:pPr>
      <w:numPr>
        <w:ilvl w:val="8"/>
      </w:numPr>
      <w:outlineLvl w:val="8"/>
    </w:pPr>
    <w:rPr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06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4626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528E"/>
  </w:style>
  <w:style w:type="paragraph" w:styleId="Footer">
    <w:name w:val="footer"/>
    <w:basedOn w:val="Normal"/>
    <w:link w:val="FooterChar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528E"/>
  </w:style>
  <w:style w:type="character" w:customStyle="1" w:styleId="Heading1Char">
    <w:name w:val="Heading 1 Char"/>
    <w:basedOn w:val="DefaultParagraphFont"/>
    <w:link w:val="Heading1"/>
    <w:rsid w:val="00D3789A"/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rsid w:val="00D3789A"/>
    <w:rPr>
      <w:rFonts w:ascii="Times New Roman" w:eastAsia="Times New Roman" w:hAnsi="Times New Roman" w:cs="Times New Roman"/>
      <w:b/>
      <w:sz w:val="24"/>
      <w:szCs w:val="20"/>
      <w:lang w:val="fr-BE"/>
    </w:rPr>
  </w:style>
  <w:style w:type="character" w:customStyle="1" w:styleId="Heading3Char">
    <w:name w:val="Heading 3 Char"/>
    <w:basedOn w:val="DefaultParagraphFont"/>
    <w:link w:val="Heading3"/>
    <w:rsid w:val="00D3789A"/>
    <w:rPr>
      <w:rFonts w:ascii="Times New Roman" w:eastAsia="Times New Roman" w:hAnsi="Times New Roman" w:cs="Times New Roman"/>
      <w:color w:val="000000"/>
      <w:sz w:val="24"/>
      <w:szCs w:val="20"/>
      <w:lang w:val="fr-BE"/>
    </w:rPr>
  </w:style>
  <w:style w:type="character" w:customStyle="1" w:styleId="Heading4Char">
    <w:name w:val="Heading 4 Char"/>
    <w:basedOn w:val="DefaultParagraphFont"/>
    <w:link w:val="Heading4"/>
    <w:rsid w:val="00D3789A"/>
    <w:rPr>
      <w:rFonts w:ascii="Times New Roman" w:eastAsia="Times New Roman" w:hAnsi="Times New Roman" w:cs="Times New Roman"/>
      <w:i/>
      <w:color w:val="000000"/>
      <w:sz w:val="24"/>
      <w:szCs w:val="20"/>
      <w:lang w:val="fr-BE"/>
    </w:rPr>
  </w:style>
  <w:style w:type="character" w:customStyle="1" w:styleId="Heading5Char">
    <w:name w:val="Heading 5 Char"/>
    <w:basedOn w:val="DefaultParagraphFont"/>
    <w:link w:val="Heading5"/>
    <w:rsid w:val="00D3789A"/>
    <w:rPr>
      <w:rFonts w:ascii="Arial" w:eastAsia="Times New Roman" w:hAnsi="Arial" w:cs="Times New Roman"/>
      <w:b/>
      <w:noProof/>
      <w:color w:val="000000"/>
      <w:szCs w:val="20"/>
      <w:lang w:val="fr-BE"/>
    </w:rPr>
  </w:style>
  <w:style w:type="character" w:customStyle="1" w:styleId="Heading6Char">
    <w:name w:val="Heading 6 Char"/>
    <w:basedOn w:val="DefaultParagraphFont"/>
    <w:link w:val="Heading6"/>
    <w:rsid w:val="00D3789A"/>
    <w:rPr>
      <w:rFonts w:ascii="Arial" w:eastAsia="Times New Roman" w:hAnsi="Arial" w:cs="Times New Roman"/>
      <w:noProof/>
      <w:color w:val="000000"/>
      <w:szCs w:val="20"/>
      <w:lang w:val="fr-BE"/>
    </w:rPr>
  </w:style>
  <w:style w:type="character" w:customStyle="1" w:styleId="Heading7Char">
    <w:name w:val="Heading 7 Char"/>
    <w:basedOn w:val="DefaultParagraphFont"/>
    <w:link w:val="Heading7"/>
    <w:rsid w:val="00D3789A"/>
    <w:rPr>
      <w:rFonts w:ascii="Arial" w:eastAsia="Times New Roman" w:hAnsi="Arial" w:cs="Times New Roman"/>
      <w:i/>
      <w:noProof/>
      <w:color w:val="000000"/>
      <w:szCs w:val="20"/>
      <w:lang w:val="fr-BE"/>
    </w:rPr>
  </w:style>
  <w:style w:type="character" w:customStyle="1" w:styleId="Heading8Char">
    <w:name w:val="Heading 8 Char"/>
    <w:basedOn w:val="DefaultParagraphFont"/>
    <w:link w:val="Heading8"/>
    <w:rsid w:val="00D3789A"/>
    <w:rPr>
      <w:rFonts w:ascii="Calibri" w:eastAsia="Times New Roman" w:hAnsi="Calibri" w:cs="Times New Roman"/>
      <w:b/>
      <w:noProof/>
      <w:color w:val="000000"/>
      <w:sz w:val="24"/>
      <w:szCs w:val="20"/>
      <w:lang w:val="fr-BE"/>
    </w:rPr>
  </w:style>
  <w:style w:type="character" w:customStyle="1" w:styleId="Heading9Char">
    <w:name w:val="Heading 9 Char"/>
    <w:basedOn w:val="DefaultParagraphFont"/>
    <w:link w:val="Heading9"/>
    <w:rsid w:val="00D3789A"/>
    <w:rPr>
      <w:rFonts w:ascii="Calibri" w:eastAsia="Times New Roman" w:hAnsi="Calibri" w:cs="Times New Roman"/>
      <w:noProof/>
      <w:color w:val="000000"/>
      <w:sz w:val="24"/>
      <w:szCs w:val="20"/>
      <w:lang w:val="fr-BE"/>
    </w:rPr>
  </w:style>
  <w:style w:type="numbering" w:customStyle="1" w:styleId="Headings">
    <w:name w:val="Headings"/>
    <w:uiPriority w:val="99"/>
    <w:rsid w:val="00D3789A"/>
    <w:pPr>
      <w:numPr>
        <w:numId w:val="1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6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1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4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3A5ED-D819-48EA-9567-D80D210D4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Snezhana Grigorova</cp:lastModifiedBy>
  <cp:revision>2</cp:revision>
  <cp:lastPrinted>2017-12-07T10:48:00Z</cp:lastPrinted>
  <dcterms:created xsi:type="dcterms:W3CDTF">2018-01-04T09:40:00Z</dcterms:created>
  <dcterms:modified xsi:type="dcterms:W3CDTF">2018-01-04T09:40:00Z</dcterms:modified>
</cp:coreProperties>
</file>